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A0139" w14:textId="2F181823" w:rsidR="007100EE" w:rsidRDefault="000A1149">
      <w:r>
        <w:rPr>
          <w:noProof/>
        </w:rPr>
        <w:drawing>
          <wp:anchor distT="0" distB="0" distL="114300" distR="114300" simplePos="0" relativeHeight="251658240" behindDoc="1" locked="0" layoutInCell="1" allowOverlap="1" wp14:anchorId="0591BE81" wp14:editId="3D1797E0">
            <wp:simplePos x="0" y="0"/>
            <wp:positionH relativeFrom="margin">
              <wp:align>left</wp:align>
            </wp:positionH>
            <wp:positionV relativeFrom="paragraph">
              <wp:posOffset>0</wp:posOffset>
            </wp:positionV>
            <wp:extent cx="971550" cy="971550"/>
            <wp:effectExtent l="0" t="0" r="0" b="0"/>
            <wp:wrapTight wrapText="bothSides">
              <wp:wrapPolygon edited="0">
                <wp:start x="0" y="0"/>
                <wp:lineTo x="0" y="21176"/>
                <wp:lineTo x="21176" y="21176"/>
                <wp:lineTo x="21176" y="0"/>
                <wp:lineTo x="0"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 cy="971550"/>
                    </a:xfrm>
                    <a:prstGeom prst="rect">
                      <a:avLst/>
                    </a:prstGeom>
                  </pic:spPr>
                </pic:pic>
              </a:graphicData>
            </a:graphic>
            <wp14:sizeRelH relativeFrom="page">
              <wp14:pctWidth>0</wp14:pctWidth>
            </wp14:sizeRelH>
            <wp14:sizeRelV relativeFrom="page">
              <wp14:pctHeight>0</wp14:pctHeight>
            </wp14:sizeRelV>
          </wp:anchor>
        </w:drawing>
      </w:r>
    </w:p>
    <w:p w14:paraId="64F404AE" w14:textId="372B1477" w:rsidR="000A1149" w:rsidRDefault="000A1149">
      <w:r>
        <w:t>Wisconsin Assessment</w:t>
      </w:r>
      <w:r w:rsidR="00D15917">
        <w:t xml:space="preserve"> </w:t>
      </w:r>
      <w:r>
        <w:t>Advisory Council</w:t>
      </w:r>
    </w:p>
    <w:p w14:paraId="7C405C1D" w14:textId="470B3972" w:rsidR="00976A81" w:rsidRDefault="00976A81">
      <w:r>
        <w:t>Working to ensure uniform property taxation statewide</w:t>
      </w:r>
    </w:p>
    <w:p w14:paraId="733B92BC" w14:textId="77777777" w:rsidR="000A1149" w:rsidRDefault="000A1149"/>
    <w:p w14:paraId="74BCFB0B" w14:textId="35D7CF9B" w:rsidR="00D15917" w:rsidRDefault="00D15917" w:rsidP="00D15917">
      <w:pPr>
        <w:ind w:left="900" w:hanging="900"/>
        <w:rPr>
          <w:rStyle w:val="Hyperlink"/>
        </w:rPr>
      </w:pPr>
      <w:r>
        <w:t xml:space="preserve">Domain: </w:t>
      </w:r>
      <w:hyperlink r:id="rId9" w:history="1">
        <w:r w:rsidRPr="00EF3A5E">
          <w:rPr>
            <w:rStyle w:val="Hyperlink"/>
          </w:rPr>
          <w:t>www.waac.pro</w:t>
        </w:r>
      </w:hyperlink>
    </w:p>
    <w:p w14:paraId="070C0F8B" w14:textId="7B8EF19B" w:rsidR="00D15917" w:rsidRPr="007D3D66" w:rsidRDefault="00D20248" w:rsidP="007D3D66">
      <w:pPr>
        <w:ind w:left="900" w:hanging="900"/>
        <w:rPr>
          <w:color w:val="0563C1" w:themeColor="hyperlink"/>
          <w:u w:val="single"/>
        </w:rPr>
      </w:pPr>
      <w:r>
        <w:rPr>
          <w:rStyle w:val="Hyperlink"/>
          <w:color w:val="auto"/>
          <w:u w:val="none"/>
        </w:rPr>
        <w:t xml:space="preserve">Possible </w:t>
      </w:r>
      <w:r w:rsidR="00D15917" w:rsidRPr="00A7543A">
        <w:rPr>
          <w:rStyle w:val="Hyperlink"/>
          <w:color w:val="auto"/>
          <w:u w:val="none"/>
        </w:rPr>
        <w:t>Images:</w:t>
      </w:r>
      <w:r>
        <w:rPr>
          <w:rStyle w:val="Hyperlink"/>
          <w:color w:val="auto"/>
          <w:u w:val="none"/>
        </w:rPr>
        <w:t xml:space="preserve"> </w:t>
      </w:r>
      <w:hyperlink r:id="rId10" w:history="1">
        <w:r w:rsidR="00D15917" w:rsidRPr="00D80A35">
          <w:rPr>
            <w:rStyle w:val="Hyperlink"/>
          </w:rPr>
          <w:t>https://www.istockphoto.com/collaboration/boards/-Ci5QHxVfEKILUJaeKS-Lg</w:t>
        </w:r>
      </w:hyperlink>
    </w:p>
    <w:p w14:paraId="665CEC88" w14:textId="77777777" w:rsidR="00C40AD3" w:rsidRDefault="00C40AD3" w:rsidP="000A1149">
      <w:pPr>
        <w:rPr>
          <w:b/>
        </w:rPr>
      </w:pPr>
    </w:p>
    <w:p w14:paraId="564F75E5" w14:textId="7DC7AB23" w:rsidR="0000763E" w:rsidRDefault="0000763E" w:rsidP="000A1149">
      <w:pPr>
        <w:rPr>
          <w:b/>
        </w:rPr>
      </w:pPr>
      <w:r>
        <w:rPr>
          <w:b/>
        </w:rPr>
        <w:t>Nav</w:t>
      </w:r>
      <w:r w:rsidR="007D3D66">
        <w:rPr>
          <w:b/>
        </w:rPr>
        <w:t>igation</w:t>
      </w:r>
      <w:r>
        <w:rPr>
          <w:b/>
        </w:rPr>
        <w:t xml:space="preserve"> </w:t>
      </w:r>
      <w:r w:rsidR="00976A81">
        <w:rPr>
          <w:b/>
        </w:rPr>
        <w:t>Items</w:t>
      </w:r>
    </w:p>
    <w:p w14:paraId="78CE4228" w14:textId="21E7D09D" w:rsidR="00976A81" w:rsidRDefault="00976A81" w:rsidP="00976A81">
      <w:pPr>
        <w:ind w:firstLine="720"/>
        <w:rPr>
          <w:b/>
        </w:rPr>
      </w:pPr>
      <w:r>
        <w:rPr>
          <w:b/>
        </w:rPr>
        <w:t xml:space="preserve">Who We </w:t>
      </w:r>
      <w:proofErr w:type="gramStart"/>
      <w:r>
        <w:rPr>
          <w:b/>
        </w:rPr>
        <w:t>Are</w:t>
      </w:r>
      <w:proofErr w:type="gramEnd"/>
    </w:p>
    <w:p w14:paraId="5E30B425" w14:textId="0B4C2643" w:rsidR="00C40AD3" w:rsidRDefault="002D3467" w:rsidP="00976A81">
      <w:pPr>
        <w:ind w:firstLine="720"/>
        <w:rPr>
          <w:b/>
        </w:rPr>
      </w:pPr>
      <w:r>
        <w:rPr>
          <w:b/>
        </w:rPr>
        <w:t>Wisconsin’s Non-Uniform Property Tax</w:t>
      </w:r>
      <w:r w:rsidR="00C40AD3">
        <w:rPr>
          <w:b/>
        </w:rPr>
        <w:t xml:space="preserve"> Problem</w:t>
      </w:r>
    </w:p>
    <w:p w14:paraId="4C05CFCD" w14:textId="265C981D" w:rsidR="00C40AD3" w:rsidRDefault="0000763E" w:rsidP="00C40AD3">
      <w:pPr>
        <w:rPr>
          <w:b/>
        </w:rPr>
      </w:pPr>
      <w:r>
        <w:rPr>
          <w:b/>
        </w:rPr>
        <w:tab/>
      </w:r>
      <w:r w:rsidR="00C40AD3">
        <w:rPr>
          <w:b/>
        </w:rPr>
        <w:t>What is Uniform Taxation?</w:t>
      </w:r>
    </w:p>
    <w:p w14:paraId="6718913A" w14:textId="5FF00A0C" w:rsidR="007D3D66" w:rsidRDefault="007D3D66" w:rsidP="007D3D66">
      <w:pPr>
        <w:rPr>
          <w:b/>
        </w:rPr>
      </w:pPr>
      <w:r>
        <w:rPr>
          <w:b/>
        </w:rPr>
        <w:tab/>
        <w:t>Blog</w:t>
      </w:r>
    </w:p>
    <w:p w14:paraId="04978D9D" w14:textId="48DC32ED" w:rsidR="0000763E" w:rsidRDefault="0000763E" w:rsidP="0000763E">
      <w:pPr>
        <w:ind w:firstLine="720"/>
        <w:rPr>
          <w:b/>
        </w:rPr>
      </w:pPr>
      <w:r>
        <w:rPr>
          <w:b/>
        </w:rPr>
        <w:t>Audit</w:t>
      </w:r>
      <w:r w:rsidR="001413DA">
        <w:rPr>
          <w:b/>
        </w:rPr>
        <w:t>s</w:t>
      </w:r>
    </w:p>
    <w:p w14:paraId="59E5BC81" w14:textId="446D0CA4" w:rsidR="001413DA" w:rsidRDefault="001413DA" w:rsidP="001B3B08">
      <w:pPr>
        <w:ind w:firstLine="720"/>
        <w:rPr>
          <w:b/>
        </w:rPr>
      </w:pPr>
      <w:r>
        <w:rPr>
          <w:b/>
        </w:rPr>
        <w:tab/>
        <w:t>Methods</w:t>
      </w:r>
    </w:p>
    <w:p w14:paraId="41240EB9" w14:textId="7F5A142A" w:rsidR="001B3B08" w:rsidRDefault="00976A81" w:rsidP="00976A81">
      <w:pPr>
        <w:ind w:left="720" w:firstLine="720"/>
        <w:rPr>
          <w:b/>
        </w:rPr>
      </w:pPr>
      <w:r>
        <w:rPr>
          <w:b/>
        </w:rPr>
        <w:t>Who</w:t>
      </w:r>
      <w:r w:rsidR="001B3B08">
        <w:rPr>
          <w:b/>
        </w:rPr>
        <w:t xml:space="preserve"> passed</w:t>
      </w:r>
      <w:r w:rsidR="006E4CB5">
        <w:rPr>
          <w:b/>
        </w:rPr>
        <w:t xml:space="preserve"> and</w:t>
      </w:r>
      <w:r>
        <w:rPr>
          <w:b/>
        </w:rPr>
        <w:t xml:space="preserve"> who failed</w:t>
      </w:r>
      <w:r w:rsidR="001B3B08">
        <w:rPr>
          <w:b/>
        </w:rPr>
        <w:t>?</w:t>
      </w:r>
    </w:p>
    <w:p w14:paraId="46B5F9F3" w14:textId="4CAAC30B" w:rsidR="001B3B08" w:rsidRDefault="001B3B08" w:rsidP="001B3B08">
      <w:pPr>
        <w:rPr>
          <w:b/>
        </w:rPr>
      </w:pPr>
      <w:r>
        <w:rPr>
          <w:b/>
        </w:rPr>
        <w:tab/>
      </w:r>
      <w:r>
        <w:rPr>
          <w:b/>
        </w:rPr>
        <w:tab/>
        <w:t>Individual audits</w:t>
      </w:r>
    </w:p>
    <w:p w14:paraId="4E4768F4" w14:textId="10726890" w:rsidR="0000763E" w:rsidRDefault="0000763E" w:rsidP="001B3B08">
      <w:pPr>
        <w:ind w:left="1440" w:firstLine="720"/>
        <w:rPr>
          <w:b/>
        </w:rPr>
      </w:pPr>
      <w:r>
        <w:rPr>
          <w:b/>
        </w:rPr>
        <w:t>Adams County Municipalities</w:t>
      </w:r>
    </w:p>
    <w:p w14:paraId="3BF07206" w14:textId="47111E48" w:rsidR="008A2CBD" w:rsidRDefault="001B3B08" w:rsidP="001B3B08">
      <w:pPr>
        <w:ind w:left="1440" w:firstLine="720"/>
        <w:rPr>
          <w:b/>
        </w:rPr>
      </w:pPr>
      <w:r>
        <w:rPr>
          <w:b/>
        </w:rPr>
        <w:t>A</w:t>
      </w:r>
      <w:r w:rsidR="001413DA">
        <w:rPr>
          <w:b/>
        </w:rPr>
        <w:t xml:space="preserve">ll </w:t>
      </w:r>
      <w:r w:rsidR="008A2CBD">
        <w:rPr>
          <w:b/>
        </w:rPr>
        <w:t>Ashland</w:t>
      </w:r>
      <w:r w:rsidR="008A2CBD" w:rsidRPr="008A2CBD">
        <w:rPr>
          <w:b/>
        </w:rPr>
        <w:t xml:space="preserve"> </w:t>
      </w:r>
      <w:r w:rsidR="008A2CBD">
        <w:rPr>
          <w:b/>
        </w:rPr>
        <w:t>County Municipalities</w:t>
      </w:r>
    </w:p>
    <w:p w14:paraId="1AEA044A" w14:textId="51A6BD1D" w:rsidR="00260737" w:rsidRPr="008A2CBD" w:rsidRDefault="008A2CBD" w:rsidP="00260737">
      <w:pPr>
        <w:ind w:left="2160"/>
        <w:rPr>
          <w:b/>
        </w:rPr>
      </w:pPr>
      <w:r>
        <w:rPr>
          <w:b/>
        </w:rPr>
        <w:t>{there are 70 more</w:t>
      </w:r>
      <w:r w:rsidR="001413DA">
        <w:rPr>
          <w:b/>
        </w:rPr>
        <w:t xml:space="preserve"> counties</w:t>
      </w:r>
      <w:r>
        <w:rPr>
          <w:b/>
        </w:rPr>
        <w:t>}</w:t>
      </w:r>
    </w:p>
    <w:p w14:paraId="23B817B9" w14:textId="6872D05F" w:rsidR="00FF3EF9" w:rsidRDefault="00FF3EF9" w:rsidP="00FF3EF9">
      <w:pPr>
        <w:ind w:firstLine="720"/>
        <w:rPr>
          <w:b/>
        </w:rPr>
      </w:pPr>
      <w:r>
        <w:rPr>
          <w:b/>
        </w:rPr>
        <w:t>WAAC Recommendations</w:t>
      </w:r>
    </w:p>
    <w:p w14:paraId="6901FBCA" w14:textId="3BD59C3B" w:rsidR="00FF3EF9" w:rsidRDefault="00FF3EF9" w:rsidP="00FF3EF9">
      <w:pPr>
        <w:ind w:firstLine="720"/>
        <w:rPr>
          <w:b/>
        </w:rPr>
      </w:pPr>
      <w:r>
        <w:rPr>
          <w:b/>
        </w:rPr>
        <w:tab/>
        <w:t>For Municipalities</w:t>
      </w:r>
    </w:p>
    <w:p w14:paraId="0CD74AEB" w14:textId="76C39947" w:rsidR="00D47946" w:rsidRDefault="00D47946" w:rsidP="00FF3EF9">
      <w:pPr>
        <w:ind w:firstLine="720"/>
        <w:rPr>
          <w:b/>
        </w:rPr>
      </w:pPr>
      <w:r>
        <w:rPr>
          <w:b/>
        </w:rPr>
        <w:tab/>
        <w:t>For Board</w:t>
      </w:r>
      <w:r w:rsidR="001B3B08">
        <w:rPr>
          <w:b/>
        </w:rPr>
        <w:t>s</w:t>
      </w:r>
      <w:r>
        <w:rPr>
          <w:b/>
        </w:rPr>
        <w:t xml:space="preserve"> of Review</w:t>
      </w:r>
    </w:p>
    <w:p w14:paraId="606D4C70" w14:textId="03C1332D" w:rsidR="00FF3EF9" w:rsidRDefault="00FF3EF9" w:rsidP="00FF3EF9">
      <w:pPr>
        <w:ind w:firstLine="720"/>
        <w:rPr>
          <w:b/>
        </w:rPr>
      </w:pPr>
      <w:r>
        <w:rPr>
          <w:b/>
        </w:rPr>
        <w:tab/>
        <w:t>For the Department of Revenue</w:t>
      </w:r>
    </w:p>
    <w:p w14:paraId="25D4FF7E" w14:textId="6B57CB3D" w:rsidR="00FF3EF9" w:rsidRDefault="00FF3EF9" w:rsidP="00FF3EF9">
      <w:pPr>
        <w:ind w:firstLine="720"/>
        <w:rPr>
          <w:b/>
        </w:rPr>
      </w:pPr>
      <w:r>
        <w:rPr>
          <w:b/>
        </w:rPr>
        <w:tab/>
        <w:t>For Legislators</w:t>
      </w:r>
    </w:p>
    <w:p w14:paraId="221CC757" w14:textId="045B4525" w:rsidR="00FF3EF9" w:rsidRDefault="00FF3EF9" w:rsidP="00FF3EF9">
      <w:pPr>
        <w:ind w:firstLine="720"/>
        <w:rPr>
          <w:b/>
        </w:rPr>
      </w:pPr>
      <w:r>
        <w:rPr>
          <w:b/>
        </w:rPr>
        <w:tab/>
        <w:t>For Taxpayers</w:t>
      </w:r>
    </w:p>
    <w:p w14:paraId="4CF769FE" w14:textId="73644F33" w:rsidR="0000763E" w:rsidRDefault="0000763E" w:rsidP="0000763E">
      <w:pPr>
        <w:rPr>
          <w:b/>
        </w:rPr>
      </w:pPr>
      <w:r>
        <w:rPr>
          <w:b/>
        </w:rPr>
        <w:tab/>
        <w:t xml:space="preserve">Meet the </w:t>
      </w:r>
      <w:r w:rsidR="00976A81">
        <w:rPr>
          <w:b/>
        </w:rPr>
        <w:t>Volunteers</w:t>
      </w:r>
    </w:p>
    <w:p w14:paraId="6DAFC2D6" w14:textId="310809C0" w:rsidR="00D47946" w:rsidRDefault="00D47946" w:rsidP="0000763E">
      <w:pPr>
        <w:rPr>
          <w:b/>
        </w:rPr>
      </w:pPr>
      <w:r>
        <w:rPr>
          <w:b/>
        </w:rPr>
        <w:tab/>
      </w:r>
      <w:r w:rsidR="00324EA3">
        <w:rPr>
          <w:b/>
        </w:rPr>
        <w:tab/>
      </w:r>
      <w:r>
        <w:rPr>
          <w:b/>
        </w:rPr>
        <w:t>WAAC Code of Conduct</w:t>
      </w:r>
    </w:p>
    <w:p w14:paraId="7BC45BF4" w14:textId="2B2AA507" w:rsidR="00324EA3" w:rsidRDefault="00324EA3" w:rsidP="00324EA3">
      <w:pPr>
        <w:rPr>
          <w:b/>
        </w:rPr>
      </w:pPr>
      <w:r>
        <w:rPr>
          <w:b/>
        </w:rPr>
        <w:tab/>
      </w:r>
      <w:r>
        <w:rPr>
          <w:b/>
        </w:rPr>
        <w:tab/>
        <w:t>Cindy Chase</w:t>
      </w:r>
      <w:r w:rsidR="000F6BAC">
        <w:rPr>
          <w:b/>
        </w:rPr>
        <w:t xml:space="preserve">, </w:t>
      </w:r>
      <w:hyperlink r:id="rId11" w:history="1">
        <w:r w:rsidR="000F6BAC" w:rsidRPr="007A5AF7">
          <w:rPr>
            <w:rStyle w:val="Hyperlink"/>
            <w:b/>
          </w:rPr>
          <w:t>https://www.linkedin.com/in/cindy-chase-4b73183b/</w:t>
        </w:r>
      </w:hyperlink>
    </w:p>
    <w:p w14:paraId="1C6AC7D2" w14:textId="620CD917" w:rsidR="00324EA3" w:rsidRDefault="00324EA3" w:rsidP="00324EA3">
      <w:pPr>
        <w:ind w:left="720" w:firstLine="720"/>
        <w:rPr>
          <w:b/>
        </w:rPr>
      </w:pPr>
      <w:r>
        <w:rPr>
          <w:b/>
        </w:rPr>
        <w:t>Andy Pelkey</w:t>
      </w:r>
      <w:r w:rsidR="003D3151">
        <w:rPr>
          <w:b/>
        </w:rPr>
        <w:t xml:space="preserve">, </w:t>
      </w:r>
      <w:hyperlink r:id="rId12" w:history="1">
        <w:r w:rsidR="003D3151" w:rsidRPr="007A5AF7">
          <w:rPr>
            <w:rStyle w:val="Hyperlink"/>
            <w:b/>
          </w:rPr>
          <w:t>https://www.linkedin.com/in/andypelkey/</w:t>
        </w:r>
      </w:hyperlink>
    </w:p>
    <w:p w14:paraId="7667C199" w14:textId="77777777" w:rsidR="003D3151" w:rsidRDefault="003D3151" w:rsidP="00324EA3">
      <w:pPr>
        <w:ind w:left="720" w:firstLine="720"/>
        <w:rPr>
          <w:b/>
        </w:rPr>
      </w:pPr>
    </w:p>
    <w:p w14:paraId="68145B4C" w14:textId="6E85C572" w:rsidR="00324EA3" w:rsidRDefault="00324EA3" w:rsidP="0000763E">
      <w:pPr>
        <w:rPr>
          <w:b/>
        </w:rPr>
      </w:pPr>
      <w:r>
        <w:rPr>
          <w:b/>
        </w:rPr>
        <w:tab/>
      </w:r>
      <w:r>
        <w:rPr>
          <w:b/>
        </w:rPr>
        <w:tab/>
        <w:t xml:space="preserve">Michael </w:t>
      </w:r>
      <w:proofErr w:type="spellStart"/>
      <w:r>
        <w:rPr>
          <w:b/>
        </w:rPr>
        <w:t>Schnautz</w:t>
      </w:r>
      <w:proofErr w:type="spellEnd"/>
      <w:r>
        <w:rPr>
          <w:b/>
        </w:rPr>
        <w:t xml:space="preserve"> profile</w:t>
      </w:r>
    </w:p>
    <w:p w14:paraId="1CF48B32" w14:textId="6FA5F63D" w:rsidR="00324EA3" w:rsidRDefault="00324EA3" w:rsidP="0000763E">
      <w:pPr>
        <w:rPr>
          <w:b/>
        </w:rPr>
      </w:pPr>
      <w:r>
        <w:rPr>
          <w:b/>
        </w:rPr>
        <w:tab/>
      </w:r>
      <w:r>
        <w:rPr>
          <w:b/>
        </w:rPr>
        <w:tab/>
        <w:t>{more experts as we add them}</w:t>
      </w:r>
    </w:p>
    <w:p w14:paraId="6ADC5AFD" w14:textId="229B8DF4" w:rsidR="000F6BAC" w:rsidRDefault="0000763E" w:rsidP="00324EA3">
      <w:pPr>
        <w:rPr>
          <w:b/>
        </w:rPr>
      </w:pPr>
      <w:r>
        <w:rPr>
          <w:b/>
        </w:rPr>
        <w:tab/>
      </w:r>
      <w:r w:rsidR="00324EA3">
        <w:rPr>
          <w:b/>
        </w:rPr>
        <w:t>Corrections</w:t>
      </w:r>
    </w:p>
    <w:p w14:paraId="1DD71D1E" w14:textId="77777777" w:rsidR="00324EA3" w:rsidRDefault="00324EA3" w:rsidP="00324EA3">
      <w:pPr>
        <w:ind w:firstLine="720"/>
        <w:rPr>
          <w:b/>
        </w:rPr>
      </w:pPr>
      <w:r>
        <w:rPr>
          <w:b/>
        </w:rPr>
        <w:t>Contact Us</w:t>
      </w:r>
    </w:p>
    <w:p w14:paraId="6084BD52" w14:textId="292F3648" w:rsidR="00324EA3" w:rsidRDefault="00324EA3" w:rsidP="00324EA3">
      <w:pPr>
        <w:ind w:left="720" w:firstLine="720"/>
        <w:rPr>
          <w:b/>
        </w:rPr>
      </w:pPr>
      <w:r>
        <w:rPr>
          <w:b/>
        </w:rPr>
        <w:t xml:space="preserve">Report an </w:t>
      </w:r>
      <w:r w:rsidR="001B3B08">
        <w:rPr>
          <w:b/>
        </w:rPr>
        <w:t>e</w:t>
      </w:r>
      <w:r>
        <w:rPr>
          <w:b/>
        </w:rPr>
        <w:t>rror</w:t>
      </w:r>
    </w:p>
    <w:p w14:paraId="547A01A3" w14:textId="77777777" w:rsidR="001B3B08" w:rsidRDefault="001B3B08" w:rsidP="001B3B08">
      <w:pPr>
        <w:ind w:left="720" w:firstLine="720"/>
        <w:rPr>
          <w:b/>
        </w:rPr>
      </w:pPr>
      <w:r>
        <w:rPr>
          <w:b/>
        </w:rPr>
        <w:t>File a complaint</w:t>
      </w:r>
    </w:p>
    <w:p w14:paraId="5F5FE02F" w14:textId="7AF39470" w:rsidR="00324EA3" w:rsidRDefault="003D3151" w:rsidP="00324EA3">
      <w:pPr>
        <w:ind w:left="720" w:firstLine="720"/>
        <w:rPr>
          <w:b/>
        </w:rPr>
      </w:pPr>
      <w:r>
        <w:rPr>
          <w:b/>
        </w:rPr>
        <w:t xml:space="preserve">Send us a </w:t>
      </w:r>
      <w:r w:rsidR="00324EA3">
        <w:rPr>
          <w:b/>
        </w:rPr>
        <w:t>Question or Comment</w:t>
      </w:r>
    </w:p>
    <w:p w14:paraId="187032A0" w14:textId="77777777" w:rsidR="001B3B08" w:rsidRDefault="001B3B08" w:rsidP="001B3B08">
      <w:pPr>
        <w:ind w:firstLine="720"/>
        <w:rPr>
          <w:b/>
        </w:rPr>
      </w:pPr>
      <w:r>
        <w:rPr>
          <w:b/>
        </w:rPr>
        <w:t>Donate</w:t>
      </w:r>
    </w:p>
    <w:p w14:paraId="42122E37" w14:textId="6C446F56" w:rsidR="007D3D66" w:rsidRDefault="007D3D66">
      <w:pPr>
        <w:rPr>
          <w:b/>
        </w:rPr>
      </w:pPr>
    </w:p>
    <w:p w14:paraId="3F285DF5" w14:textId="77777777" w:rsidR="001B3B08" w:rsidRDefault="001B3B08">
      <w:pPr>
        <w:rPr>
          <w:b/>
        </w:rPr>
      </w:pPr>
      <w:r>
        <w:rPr>
          <w:b/>
        </w:rPr>
        <w:br w:type="page"/>
      </w:r>
    </w:p>
    <w:p w14:paraId="39D69D7C" w14:textId="77777777" w:rsidR="002D3467" w:rsidRDefault="002D3467" w:rsidP="002D3467">
      <w:pPr>
        <w:rPr>
          <w:b/>
        </w:rPr>
      </w:pPr>
      <w:r>
        <w:rPr>
          <w:b/>
        </w:rPr>
        <w:lastRenderedPageBreak/>
        <w:t xml:space="preserve">Who We </w:t>
      </w:r>
      <w:proofErr w:type="gramStart"/>
      <w:r>
        <w:rPr>
          <w:b/>
        </w:rPr>
        <w:t>Are</w:t>
      </w:r>
      <w:proofErr w:type="gramEnd"/>
    </w:p>
    <w:p w14:paraId="796471BD" w14:textId="7ED80B22" w:rsidR="002D3467" w:rsidRDefault="002D3467" w:rsidP="002D3467">
      <w:r>
        <w:t>The Wisconsin Assessment Advisory Council (WAAC) is</w:t>
      </w:r>
      <w:r w:rsidRPr="000A1149">
        <w:t xml:space="preserve"> </w:t>
      </w:r>
      <w:r>
        <w:t>a non-partisan</w:t>
      </w:r>
      <w:r w:rsidR="00FC779B">
        <w:t>, not-for-profit,</w:t>
      </w:r>
      <w:r>
        <w:t xml:space="preserve"> </w:t>
      </w:r>
      <w:r w:rsidRPr="000A1149">
        <w:t xml:space="preserve">watchdog organization with </w:t>
      </w:r>
      <w:r>
        <w:t>a</w:t>
      </w:r>
      <w:r w:rsidRPr="000A1149">
        <w:t xml:space="preserve"> mission to ensure uniform property taxation statewide</w:t>
      </w:r>
      <w:r>
        <w:t>.</w:t>
      </w:r>
      <w:r w:rsidR="00834B27">
        <w:t xml:space="preserve">  It was started in February of 2022 as the Wisconsin Assessment Advisory Council, LLC and does business</w:t>
      </w:r>
      <w:r w:rsidR="00FC779B">
        <w:t xml:space="preserve"> as the Wisconsin Assessment Advisory Council.</w:t>
      </w:r>
    </w:p>
    <w:p w14:paraId="1D6C5BBE" w14:textId="111FCA69" w:rsidR="002D3467" w:rsidRDefault="002D3467" w:rsidP="002D3467">
      <w:bookmarkStart w:id="0" w:name="_Hlk95383917"/>
      <w:r>
        <w:t xml:space="preserve">The Wisconsin Assessment Advisory Council audits local municipal governments who are responsible for producing a uniform property tax assessment roll each year.  The audit looks for evidence that property tax assessments are uniform as well as evidence that they are not uniform. </w:t>
      </w:r>
    </w:p>
    <w:p w14:paraId="6DB6AC50" w14:textId="06EBAA14" w:rsidR="00FC779B" w:rsidRDefault="002D3467" w:rsidP="002D3467">
      <w:r>
        <w:t xml:space="preserve">WAAC is run by volunteers. Some volunteers are experts in property tax administration and some are </w:t>
      </w:r>
      <w:r w:rsidR="00260737">
        <w:t xml:space="preserve">just </w:t>
      </w:r>
      <w:r>
        <w:t>good people trying to do the right thing.  These volunteers donate their time and talents because they know how unfair non-uniform taxation is and want safeguards that will guarantee everyone’s constitutional right to just and equitable (a.k.a. uniform) property taxes.</w:t>
      </w:r>
      <w:bookmarkEnd w:id="0"/>
    </w:p>
    <w:p w14:paraId="5F305FB1" w14:textId="77777777" w:rsidR="002D3467" w:rsidRDefault="002D3467" w:rsidP="00C40AD3">
      <w:r>
        <w:rPr>
          <w:b/>
        </w:rPr>
        <w:t>Wisconsin’s Non-Uniform Property Tax Problem</w:t>
      </w:r>
      <w:r>
        <w:t xml:space="preserve"> </w:t>
      </w:r>
    </w:p>
    <w:p w14:paraId="76C4835C" w14:textId="310A3F06" w:rsidR="00C40AD3" w:rsidRDefault="00C40AD3" w:rsidP="00C40AD3">
      <w:r>
        <w:t xml:space="preserve">Article VIII Section 1 of the State Constitution </w:t>
      </w:r>
      <w:r w:rsidR="00FC779B">
        <w:t>states</w:t>
      </w:r>
      <w:r>
        <w:t xml:space="preserve"> that all taxation shall be uniform.  Non-uniform taxation is a statewide epidemic.  For proof of this, see the results of this watchdog investigation done by the Milwaukee Journal Sentinel.</w:t>
      </w:r>
    </w:p>
    <w:p w14:paraId="6BF0615F" w14:textId="77777777" w:rsidR="00C40AD3" w:rsidRDefault="001178F1" w:rsidP="00C40AD3">
      <w:pPr>
        <w:ind w:left="720"/>
      </w:pPr>
      <w:hyperlink r:id="rId13" w:history="1">
        <w:r w:rsidR="00C40AD3" w:rsidRPr="00D80A35">
          <w:rPr>
            <w:rStyle w:val="Hyperlink"/>
          </w:rPr>
          <w:t>https://archive.jsonline.com/watchdog/watchdogreports/across-wisconsin-uneven-property-assessments-fly-in-the-face-of-fairness-277614021.html</w:t>
        </w:r>
      </w:hyperlink>
    </w:p>
    <w:p w14:paraId="7FD46A93" w14:textId="77777777" w:rsidR="00C40AD3" w:rsidRDefault="00C40AD3" w:rsidP="00C40AD3">
      <w:r>
        <w:t>Too many property taxes in the State of Wisconsin are not uniform.  Non-uniform taxes are unjust and unfair.  The tax burden must be fairly distributed across all property owners.</w:t>
      </w:r>
    </w:p>
    <w:p w14:paraId="13098D5B" w14:textId="35ED2694" w:rsidR="00C40AD3" w:rsidRDefault="00C40AD3" w:rsidP="00C40AD3">
      <w:r>
        <w:t xml:space="preserve">Per Wisconsin Statute 73.03, it is actually the Department of Revenue who has the duty and responsibility to oversee the entire assessment process to ensure uniform taxation.  However, the Department of Revenue has failed to do this and their leadership is indifferent.  Past governors, including the current governor, have clearly shown their indifference as well.  </w:t>
      </w:r>
    </w:p>
    <w:p w14:paraId="70808A96" w14:textId="77777777" w:rsidR="00C40AD3" w:rsidRDefault="00C40AD3" w:rsidP="00C40AD3">
      <w:r>
        <w:t xml:space="preserve">Other organizations have lobbied legislators to tilt property tax administration in their favor.  </w:t>
      </w:r>
    </w:p>
    <w:p w14:paraId="0E5194FB" w14:textId="7943B7C0" w:rsidR="00C40AD3" w:rsidRDefault="00C40AD3" w:rsidP="00C40AD3">
      <w:r>
        <w:t>All of these things have created the need for the Wisconsin Assessment Advisory Council.</w:t>
      </w:r>
    </w:p>
    <w:p w14:paraId="7C60A635" w14:textId="4A1801E3" w:rsidR="00C40AD3" w:rsidRDefault="00C40AD3" w:rsidP="00C40AD3">
      <w:pPr>
        <w:rPr>
          <w:b/>
        </w:rPr>
      </w:pPr>
      <w:r>
        <w:rPr>
          <w:b/>
        </w:rPr>
        <w:t>What Is Uniform Taxation?</w:t>
      </w:r>
    </w:p>
    <w:p w14:paraId="22D54620" w14:textId="77777777" w:rsidR="00C40AD3" w:rsidRDefault="00C40AD3" w:rsidP="00C40AD3">
      <w:r>
        <w:t xml:space="preserve">Uniform taxation means similar properties have similar values for taxation purposes.  </w:t>
      </w:r>
    </w:p>
    <w:p w14:paraId="6AF011AA" w14:textId="77777777" w:rsidR="00C40AD3" w:rsidRDefault="00C40AD3" w:rsidP="00C40AD3">
      <w:r>
        <w:t>For example, if you own a condominium assessed for tax purposes at $200,000 and your neighbor has the same unit but is assessed at $160,000, your values, and therefore your taxes, will be significantly different.  You will be paying more of the tax burden than your neighbor, even though the market value of both units is the same.  This is non-uniform taxation.</w:t>
      </w:r>
    </w:p>
    <w:p w14:paraId="16E29102" w14:textId="77777777" w:rsidR="00C40AD3" w:rsidRDefault="00C40AD3" w:rsidP="00C40AD3">
      <w:r>
        <w:t>Two properties are often not identical; but to the extent that they are the same their assessed values should be the same.  To the extent they are different their assessed values should be different.</w:t>
      </w:r>
    </w:p>
    <w:p w14:paraId="041BA27C" w14:textId="77777777" w:rsidR="00260737" w:rsidRDefault="00260737">
      <w:pPr>
        <w:rPr>
          <w:b/>
          <w:bCs/>
        </w:rPr>
      </w:pPr>
      <w:r>
        <w:rPr>
          <w:b/>
          <w:bCs/>
        </w:rPr>
        <w:br w:type="page"/>
      </w:r>
    </w:p>
    <w:p w14:paraId="15C64B88" w14:textId="31C5CC8D" w:rsidR="000C79C9" w:rsidRDefault="000C79C9" w:rsidP="00E96F9D">
      <w:pPr>
        <w:rPr>
          <w:b/>
          <w:bCs/>
        </w:rPr>
      </w:pPr>
      <w:r>
        <w:rPr>
          <w:b/>
          <w:bCs/>
        </w:rPr>
        <w:lastRenderedPageBreak/>
        <w:t>Audit Methods</w:t>
      </w:r>
    </w:p>
    <w:p w14:paraId="1FB18506" w14:textId="155D6C44" w:rsidR="000C79C9" w:rsidRDefault="000C79C9" w:rsidP="00E96F9D">
      <w:r>
        <w:t xml:space="preserve">We audit each municipalities’ electronic property tax assessment records.  Municipalities are required to keep their assessment records in electronic form, but some do not because the Department of Revenue, who made up the requirement, doesn’t enforce their own administrative rules.  Not understanding what the word “requirement” means is a longstanding problem at the Department of Revenue and one of the </w:t>
      </w:r>
      <w:r w:rsidR="006E4CB5">
        <w:t xml:space="preserve">many </w:t>
      </w:r>
      <w:r>
        <w:t>causes of non-uniformity.</w:t>
      </w:r>
    </w:p>
    <w:p w14:paraId="0C450F7F" w14:textId="07EAC5EF" w:rsidR="000C79C9" w:rsidRDefault="000C79C9" w:rsidP="00E96F9D">
      <w:r>
        <w:t>Problem with uniformity</w:t>
      </w:r>
      <w:r w:rsidR="006E4CB5">
        <w:t xml:space="preserve"> can</w:t>
      </w:r>
      <w:r>
        <w:t xml:space="preserve"> </w:t>
      </w:r>
      <w:r w:rsidR="006E4CB5">
        <w:t>nearly</w:t>
      </w:r>
      <w:r>
        <w:t xml:space="preserve"> always be tracked back to problem with assessed values.  Most real estate in Wisconsin is supposed to be assessed at 100% of market value.  The largest exceptions are agricultural land, land in DNR forest programs and exempt property.</w:t>
      </w:r>
    </w:p>
    <w:p w14:paraId="3A8F9707" w14:textId="74B5608F" w:rsidR="000C79C9" w:rsidRDefault="000C79C9" w:rsidP="00E96F9D">
      <w:r>
        <w:t xml:space="preserve">Each municipality should be using CAMA software to calculate property values.  For those that do, we use reports generated by </w:t>
      </w:r>
      <w:r w:rsidR="006E4CB5">
        <w:t>their</w:t>
      </w:r>
      <w:r>
        <w:t xml:space="preserve"> CAMA software to prove or disprove that assessed values are uniform.  We also look for evidence that property assessed at less than full market value meets the requirements.</w:t>
      </w:r>
    </w:p>
    <w:p w14:paraId="6D4652CB" w14:textId="35C16C4F" w:rsidR="006E4CB5" w:rsidRDefault="006E4CB5" w:rsidP="00E96F9D">
      <w:r>
        <w:t>Any municipality not using CAMA software automatically fails our test.  In addition, if the CAMA software used does not support all three recognized approaches to value (cost, sales comparison and income), it also fails our test.</w:t>
      </w:r>
    </w:p>
    <w:p w14:paraId="5864ED70" w14:textId="2EC707F9" w:rsidR="006E4CB5" w:rsidRPr="006E4CB5" w:rsidRDefault="006E4CB5" w:rsidP="00E96F9D">
      <w:pPr>
        <w:rPr>
          <w:b/>
          <w:bCs/>
        </w:rPr>
      </w:pPr>
      <w:r w:rsidRPr="006E4CB5">
        <w:rPr>
          <w:b/>
          <w:bCs/>
        </w:rPr>
        <w:t xml:space="preserve">Who Passed and Who </w:t>
      </w:r>
      <w:proofErr w:type="gramStart"/>
      <w:r w:rsidRPr="006E4CB5">
        <w:rPr>
          <w:b/>
          <w:bCs/>
        </w:rPr>
        <w:t>Failed</w:t>
      </w:r>
      <w:proofErr w:type="gramEnd"/>
    </w:p>
    <w:p w14:paraId="2489A63D" w14:textId="397A541F" w:rsidR="006E4CB5" w:rsidRDefault="006E4CB5" w:rsidP="00E96F9D">
      <w:r>
        <w:t>We are just getting started with our audits.  This list of who passed and who failed will be updated regularly as we finish large chunks of work.</w:t>
      </w:r>
    </w:p>
    <w:tbl>
      <w:tblPr>
        <w:tblStyle w:val="TableGrid"/>
        <w:tblW w:w="0" w:type="auto"/>
        <w:tblLook w:val="04A0" w:firstRow="1" w:lastRow="0" w:firstColumn="1" w:lastColumn="0" w:noHBand="0" w:noVBand="1"/>
      </w:tblPr>
      <w:tblGrid>
        <w:gridCol w:w="1525"/>
        <w:gridCol w:w="2141"/>
        <w:gridCol w:w="945"/>
        <w:gridCol w:w="1396"/>
        <w:gridCol w:w="3343"/>
      </w:tblGrid>
      <w:tr w:rsidR="00156B98" w:rsidRPr="00156B98" w14:paraId="7674D2E7" w14:textId="77777777" w:rsidTr="00156B98">
        <w:tc>
          <w:tcPr>
            <w:tcW w:w="1525" w:type="dxa"/>
          </w:tcPr>
          <w:p w14:paraId="680A611A" w14:textId="77777777" w:rsidR="00156B98" w:rsidRDefault="00156B98" w:rsidP="00156B98">
            <w:pPr>
              <w:jc w:val="center"/>
              <w:rPr>
                <w:b/>
                <w:bCs/>
              </w:rPr>
            </w:pPr>
          </w:p>
          <w:p w14:paraId="262531E3" w14:textId="0AFEB249" w:rsidR="00156B98" w:rsidRPr="00156B98" w:rsidRDefault="00156B98" w:rsidP="00156B98">
            <w:pPr>
              <w:jc w:val="center"/>
              <w:rPr>
                <w:b/>
                <w:bCs/>
              </w:rPr>
            </w:pPr>
            <w:r w:rsidRPr="00156B98">
              <w:rPr>
                <w:b/>
                <w:bCs/>
              </w:rPr>
              <w:t>County</w:t>
            </w:r>
          </w:p>
        </w:tc>
        <w:tc>
          <w:tcPr>
            <w:tcW w:w="2141" w:type="dxa"/>
          </w:tcPr>
          <w:p w14:paraId="484144F1" w14:textId="77777777" w:rsidR="00156B98" w:rsidRDefault="00156B98" w:rsidP="00156B98">
            <w:pPr>
              <w:jc w:val="center"/>
              <w:rPr>
                <w:b/>
                <w:bCs/>
              </w:rPr>
            </w:pPr>
          </w:p>
          <w:p w14:paraId="7BF79340" w14:textId="2F681D85" w:rsidR="00156B98" w:rsidRPr="00156B98" w:rsidRDefault="00156B98" w:rsidP="00156B98">
            <w:pPr>
              <w:jc w:val="center"/>
              <w:rPr>
                <w:b/>
                <w:bCs/>
              </w:rPr>
            </w:pPr>
            <w:r w:rsidRPr="00156B98">
              <w:rPr>
                <w:b/>
                <w:bCs/>
              </w:rPr>
              <w:t>Municipality</w:t>
            </w:r>
          </w:p>
        </w:tc>
        <w:tc>
          <w:tcPr>
            <w:tcW w:w="945" w:type="dxa"/>
          </w:tcPr>
          <w:p w14:paraId="4CD5FD88" w14:textId="2CA4018B" w:rsidR="00156B98" w:rsidRPr="00156B98" w:rsidRDefault="00156B98" w:rsidP="00156B98">
            <w:pPr>
              <w:jc w:val="center"/>
              <w:rPr>
                <w:b/>
                <w:bCs/>
              </w:rPr>
            </w:pPr>
            <w:r>
              <w:rPr>
                <w:b/>
                <w:bCs/>
              </w:rPr>
              <w:t>Year Audited</w:t>
            </w:r>
          </w:p>
        </w:tc>
        <w:tc>
          <w:tcPr>
            <w:tcW w:w="1396" w:type="dxa"/>
          </w:tcPr>
          <w:p w14:paraId="3FDA291D" w14:textId="77777777" w:rsidR="00156B98" w:rsidRDefault="00156B98" w:rsidP="00156B98">
            <w:pPr>
              <w:jc w:val="center"/>
              <w:rPr>
                <w:b/>
                <w:bCs/>
              </w:rPr>
            </w:pPr>
            <w:r w:rsidRPr="00156B98">
              <w:rPr>
                <w:b/>
                <w:bCs/>
              </w:rPr>
              <w:t xml:space="preserve">Audit </w:t>
            </w:r>
          </w:p>
          <w:p w14:paraId="63D8EA85" w14:textId="6D931D5B" w:rsidR="00156B98" w:rsidRPr="00156B98" w:rsidRDefault="00156B98" w:rsidP="00156B98">
            <w:pPr>
              <w:jc w:val="center"/>
              <w:rPr>
                <w:b/>
                <w:bCs/>
              </w:rPr>
            </w:pPr>
            <w:r w:rsidRPr="00156B98">
              <w:rPr>
                <w:b/>
                <w:bCs/>
              </w:rPr>
              <w:t>Result</w:t>
            </w:r>
          </w:p>
        </w:tc>
        <w:tc>
          <w:tcPr>
            <w:tcW w:w="3343" w:type="dxa"/>
          </w:tcPr>
          <w:p w14:paraId="25E58736" w14:textId="77777777" w:rsidR="00156B98" w:rsidRDefault="00156B98" w:rsidP="00156B98">
            <w:pPr>
              <w:jc w:val="center"/>
              <w:rPr>
                <w:b/>
                <w:bCs/>
              </w:rPr>
            </w:pPr>
          </w:p>
          <w:p w14:paraId="13A9DC4B" w14:textId="713C0054" w:rsidR="00156B98" w:rsidRPr="00156B98" w:rsidRDefault="00156B98" w:rsidP="00156B98">
            <w:pPr>
              <w:jc w:val="center"/>
              <w:rPr>
                <w:b/>
                <w:bCs/>
              </w:rPr>
            </w:pPr>
            <w:r w:rsidRPr="00156B98">
              <w:rPr>
                <w:b/>
                <w:bCs/>
              </w:rPr>
              <w:t>Municipal Response</w:t>
            </w:r>
          </w:p>
        </w:tc>
      </w:tr>
      <w:tr w:rsidR="00156B98" w14:paraId="74BF5B50" w14:textId="77777777" w:rsidTr="00156B98">
        <w:tc>
          <w:tcPr>
            <w:tcW w:w="1525" w:type="dxa"/>
          </w:tcPr>
          <w:p w14:paraId="1412B0EF" w14:textId="77777777" w:rsidR="00156B98" w:rsidRDefault="00156B98" w:rsidP="0087639D">
            <w:r>
              <w:t>Ashland</w:t>
            </w:r>
          </w:p>
        </w:tc>
        <w:tc>
          <w:tcPr>
            <w:tcW w:w="2141" w:type="dxa"/>
          </w:tcPr>
          <w:p w14:paraId="2C1A6F35" w14:textId="77777777" w:rsidR="00156B98" w:rsidRDefault="00156B98" w:rsidP="0087639D">
            <w:r>
              <w:t>Town of Morse</w:t>
            </w:r>
          </w:p>
        </w:tc>
        <w:tc>
          <w:tcPr>
            <w:tcW w:w="945" w:type="dxa"/>
          </w:tcPr>
          <w:p w14:paraId="7680E486" w14:textId="2E13684D" w:rsidR="00156B98" w:rsidRDefault="00156B98" w:rsidP="00156B98">
            <w:pPr>
              <w:jc w:val="center"/>
            </w:pPr>
            <w:r>
              <w:t>2021</w:t>
            </w:r>
          </w:p>
        </w:tc>
        <w:tc>
          <w:tcPr>
            <w:tcW w:w="1396" w:type="dxa"/>
          </w:tcPr>
          <w:p w14:paraId="0D290871" w14:textId="486C1C27" w:rsidR="00156B98" w:rsidRDefault="00156B98" w:rsidP="0087639D">
            <w:r>
              <w:t>Fail</w:t>
            </w:r>
          </w:p>
        </w:tc>
        <w:tc>
          <w:tcPr>
            <w:tcW w:w="3343" w:type="dxa"/>
          </w:tcPr>
          <w:p w14:paraId="7A3595C3" w14:textId="77777777" w:rsidR="00156B98" w:rsidRDefault="00156B98" w:rsidP="0087639D"/>
        </w:tc>
      </w:tr>
      <w:tr w:rsidR="00156B98" w14:paraId="377C7090" w14:textId="77777777" w:rsidTr="00156B98">
        <w:tc>
          <w:tcPr>
            <w:tcW w:w="1525" w:type="dxa"/>
          </w:tcPr>
          <w:p w14:paraId="6C1F0778" w14:textId="77777777" w:rsidR="00156B98" w:rsidRDefault="00156B98" w:rsidP="00156B98">
            <w:r>
              <w:t>Ashland</w:t>
            </w:r>
          </w:p>
        </w:tc>
        <w:tc>
          <w:tcPr>
            <w:tcW w:w="2141" w:type="dxa"/>
          </w:tcPr>
          <w:p w14:paraId="7D6E66B9" w14:textId="77777777" w:rsidR="00156B98" w:rsidRDefault="00156B98" w:rsidP="00156B98">
            <w:r>
              <w:t>Town of White River</w:t>
            </w:r>
          </w:p>
        </w:tc>
        <w:tc>
          <w:tcPr>
            <w:tcW w:w="945" w:type="dxa"/>
          </w:tcPr>
          <w:p w14:paraId="2C565302" w14:textId="0A5460D6" w:rsidR="00156B98" w:rsidRDefault="00156B98" w:rsidP="00156B98">
            <w:pPr>
              <w:jc w:val="center"/>
            </w:pPr>
            <w:r>
              <w:t>2021</w:t>
            </w:r>
          </w:p>
        </w:tc>
        <w:tc>
          <w:tcPr>
            <w:tcW w:w="1396" w:type="dxa"/>
          </w:tcPr>
          <w:p w14:paraId="0F67C936" w14:textId="49CBD926" w:rsidR="00156B98" w:rsidRDefault="00156B98" w:rsidP="00156B98">
            <w:r>
              <w:t>Fail</w:t>
            </w:r>
          </w:p>
        </w:tc>
        <w:tc>
          <w:tcPr>
            <w:tcW w:w="3343" w:type="dxa"/>
          </w:tcPr>
          <w:p w14:paraId="1B9ED5CA" w14:textId="77777777" w:rsidR="00156B98" w:rsidRDefault="00156B98" w:rsidP="00156B98"/>
        </w:tc>
      </w:tr>
      <w:tr w:rsidR="00156B98" w14:paraId="7255A977" w14:textId="77777777" w:rsidTr="00156B98">
        <w:tc>
          <w:tcPr>
            <w:tcW w:w="1525" w:type="dxa"/>
          </w:tcPr>
          <w:p w14:paraId="00A952E5" w14:textId="7823AF26" w:rsidR="00156B98" w:rsidRDefault="00156B98" w:rsidP="00156B98">
            <w:r>
              <w:t>Price</w:t>
            </w:r>
          </w:p>
        </w:tc>
        <w:tc>
          <w:tcPr>
            <w:tcW w:w="2141" w:type="dxa"/>
          </w:tcPr>
          <w:p w14:paraId="7ADDDAA7" w14:textId="66F5A0B8" w:rsidR="00156B98" w:rsidRDefault="00156B98" w:rsidP="00156B98">
            <w:r>
              <w:t>Town of Elk</w:t>
            </w:r>
          </w:p>
        </w:tc>
        <w:tc>
          <w:tcPr>
            <w:tcW w:w="945" w:type="dxa"/>
          </w:tcPr>
          <w:p w14:paraId="590BF753" w14:textId="0172C524" w:rsidR="00156B98" w:rsidRDefault="00156B98" w:rsidP="00156B98">
            <w:pPr>
              <w:jc w:val="center"/>
            </w:pPr>
            <w:r>
              <w:t>2021</w:t>
            </w:r>
          </w:p>
        </w:tc>
        <w:tc>
          <w:tcPr>
            <w:tcW w:w="1396" w:type="dxa"/>
          </w:tcPr>
          <w:p w14:paraId="2C1A331A" w14:textId="06BB4328" w:rsidR="00156B98" w:rsidRDefault="00156B98" w:rsidP="00156B98">
            <w:r>
              <w:t>Fail</w:t>
            </w:r>
          </w:p>
        </w:tc>
        <w:tc>
          <w:tcPr>
            <w:tcW w:w="3343" w:type="dxa"/>
          </w:tcPr>
          <w:p w14:paraId="04274A2F" w14:textId="77777777" w:rsidR="00156B98" w:rsidRDefault="00156B98" w:rsidP="00156B98"/>
        </w:tc>
      </w:tr>
      <w:tr w:rsidR="00156B98" w14:paraId="46DE16EC" w14:textId="77777777" w:rsidTr="00156B98">
        <w:tc>
          <w:tcPr>
            <w:tcW w:w="1525" w:type="dxa"/>
          </w:tcPr>
          <w:p w14:paraId="02BBAD7A" w14:textId="5AA46EAC" w:rsidR="00156B98" w:rsidRDefault="00156B98" w:rsidP="00156B98">
            <w:r>
              <w:t>Taylor</w:t>
            </w:r>
          </w:p>
        </w:tc>
        <w:tc>
          <w:tcPr>
            <w:tcW w:w="2141" w:type="dxa"/>
          </w:tcPr>
          <w:p w14:paraId="74FADED5" w14:textId="5B747628" w:rsidR="00156B98" w:rsidRDefault="00156B98" w:rsidP="00156B98">
            <w:r>
              <w:t>Town of Hammel</w:t>
            </w:r>
          </w:p>
        </w:tc>
        <w:tc>
          <w:tcPr>
            <w:tcW w:w="945" w:type="dxa"/>
          </w:tcPr>
          <w:p w14:paraId="3C827B40" w14:textId="07695620" w:rsidR="00156B98" w:rsidRDefault="00156B98" w:rsidP="00156B98">
            <w:pPr>
              <w:jc w:val="center"/>
            </w:pPr>
            <w:r>
              <w:t>2021</w:t>
            </w:r>
          </w:p>
        </w:tc>
        <w:tc>
          <w:tcPr>
            <w:tcW w:w="1396" w:type="dxa"/>
          </w:tcPr>
          <w:p w14:paraId="57439674" w14:textId="3B1C01EC" w:rsidR="00156B98" w:rsidRDefault="00156B98" w:rsidP="00156B98">
            <w:r>
              <w:t>Fail</w:t>
            </w:r>
          </w:p>
        </w:tc>
        <w:tc>
          <w:tcPr>
            <w:tcW w:w="3343" w:type="dxa"/>
          </w:tcPr>
          <w:p w14:paraId="56EFC179" w14:textId="77777777" w:rsidR="00156B98" w:rsidRDefault="00156B98" w:rsidP="00156B98"/>
        </w:tc>
      </w:tr>
      <w:tr w:rsidR="00156B98" w14:paraId="726D48C3" w14:textId="77777777" w:rsidTr="00156B98">
        <w:tc>
          <w:tcPr>
            <w:tcW w:w="1525" w:type="dxa"/>
          </w:tcPr>
          <w:p w14:paraId="4D82670C" w14:textId="5C9F355B" w:rsidR="00156B98" w:rsidRDefault="00156B98" w:rsidP="00156B98"/>
        </w:tc>
        <w:tc>
          <w:tcPr>
            <w:tcW w:w="2141" w:type="dxa"/>
          </w:tcPr>
          <w:p w14:paraId="1EB8201D" w14:textId="76595859" w:rsidR="00156B98" w:rsidRDefault="00156B98" w:rsidP="00156B98"/>
        </w:tc>
        <w:tc>
          <w:tcPr>
            <w:tcW w:w="945" w:type="dxa"/>
          </w:tcPr>
          <w:p w14:paraId="18B4A977" w14:textId="77777777" w:rsidR="00156B98" w:rsidRDefault="00156B98" w:rsidP="00156B98">
            <w:pPr>
              <w:jc w:val="center"/>
            </w:pPr>
          </w:p>
        </w:tc>
        <w:tc>
          <w:tcPr>
            <w:tcW w:w="1396" w:type="dxa"/>
          </w:tcPr>
          <w:p w14:paraId="65D60528" w14:textId="77777777" w:rsidR="00156B98" w:rsidRDefault="00156B98" w:rsidP="00156B98"/>
        </w:tc>
        <w:tc>
          <w:tcPr>
            <w:tcW w:w="3343" w:type="dxa"/>
          </w:tcPr>
          <w:p w14:paraId="5E90C1F2" w14:textId="77777777" w:rsidR="00156B98" w:rsidRDefault="00156B98" w:rsidP="00156B98"/>
        </w:tc>
      </w:tr>
    </w:tbl>
    <w:p w14:paraId="24F9FDC8" w14:textId="77777777" w:rsidR="00156B98" w:rsidRPr="000C79C9" w:rsidRDefault="00156B98" w:rsidP="00E96F9D"/>
    <w:p w14:paraId="5202C383" w14:textId="2D439C0C" w:rsidR="00E96F9D" w:rsidRDefault="00735F7B" w:rsidP="00E96F9D">
      <w:pPr>
        <w:rPr>
          <w:b/>
          <w:bCs/>
        </w:rPr>
      </w:pPr>
      <w:r>
        <w:rPr>
          <w:b/>
          <w:bCs/>
        </w:rPr>
        <w:t xml:space="preserve">WAAC </w:t>
      </w:r>
      <w:r w:rsidR="00E96F9D" w:rsidRPr="00E96F9D">
        <w:rPr>
          <w:b/>
          <w:bCs/>
        </w:rPr>
        <w:t>Recommendations</w:t>
      </w:r>
    </w:p>
    <w:p w14:paraId="2C31D246" w14:textId="77777777" w:rsidR="0037447D" w:rsidRDefault="00280225" w:rsidP="00E96F9D">
      <w:r>
        <w:t xml:space="preserve">The Department of Revenue </w:t>
      </w:r>
      <w:r w:rsidR="0037447D">
        <w:t>needs to do the following:</w:t>
      </w:r>
    </w:p>
    <w:p w14:paraId="52781D1C" w14:textId="1AE23E8B" w:rsidR="00280225" w:rsidRDefault="0037447D" w:rsidP="0037447D">
      <w:pPr>
        <w:pStyle w:val="ListParagraph"/>
        <w:numPr>
          <w:ilvl w:val="0"/>
          <w:numId w:val="4"/>
        </w:numPr>
      </w:pPr>
      <w:r>
        <w:t>Hire</w:t>
      </w:r>
      <w:r w:rsidR="00021867">
        <w:t xml:space="preserve"> </w:t>
      </w:r>
      <w:r w:rsidR="00913B51">
        <w:t>enough</w:t>
      </w:r>
      <w:r>
        <w:t xml:space="preserve"> qualified people with real assessment experience</w:t>
      </w:r>
      <w:r w:rsidR="00913B51">
        <w:t xml:space="preserve"> to comply with WI Stat 73.03.</w:t>
      </w:r>
    </w:p>
    <w:p w14:paraId="577C773A" w14:textId="71F41A9D" w:rsidR="0037447D" w:rsidRDefault="0037447D" w:rsidP="0037447D">
      <w:pPr>
        <w:pStyle w:val="ListParagraph"/>
        <w:numPr>
          <w:ilvl w:val="0"/>
          <w:numId w:val="4"/>
        </w:numPr>
      </w:pPr>
      <w:r>
        <w:t>Develop a pass/fail system to measure uniformity.</w:t>
      </w:r>
    </w:p>
    <w:p w14:paraId="0CA919C3" w14:textId="60B9BE2B" w:rsidR="0037447D" w:rsidRDefault="0037447D" w:rsidP="0037447D">
      <w:pPr>
        <w:pStyle w:val="ListParagraph"/>
        <w:numPr>
          <w:ilvl w:val="0"/>
          <w:numId w:val="4"/>
        </w:numPr>
      </w:pPr>
      <w:r>
        <w:t>Use that system to determine which municipal property tax rolls pass and which ones fail.</w:t>
      </w:r>
    </w:p>
    <w:p w14:paraId="6136D8B5" w14:textId="0AC65003" w:rsidR="0037447D" w:rsidRDefault="0037447D" w:rsidP="0037447D">
      <w:pPr>
        <w:pStyle w:val="ListParagraph"/>
        <w:numPr>
          <w:ilvl w:val="0"/>
          <w:numId w:val="4"/>
        </w:numPr>
      </w:pPr>
      <w:r>
        <w:t>Hold municipalities accountable if their property tax rolls are not uniform.</w:t>
      </w:r>
    </w:p>
    <w:p w14:paraId="6337AD74" w14:textId="79E8F574" w:rsidR="00E96F9D" w:rsidRDefault="0037447D" w:rsidP="00021867">
      <w:pPr>
        <w:pStyle w:val="ListParagraph"/>
        <w:numPr>
          <w:ilvl w:val="0"/>
          <w:numId w:val="4"/>
        </w:numPr>
      </w:pPr>
      <w:r>
        <w:t>Strategically audit municipalities</w:t>
      </w:r>
      <w:r w:rsidR="00021867">
        <w:t xml:space="preserve"> and assessment firms to ensure they are not </w:t>
      </w:r>
      <w:r w:rsidR="00C340E3">
        <w:t xml:space="preserve">avoiding accountability by </w:t>
      </w:r>
      <w:r w:rsidR="00B30DB4">
        <w:t>gaming</w:t>
      </w:r>
      <w:r w:rsidR="00C340E3">
        <w:t xml:space="preserve"> the system.</w:t>
      </w:r>
    </w:p>
    <w:p w14:paraId="511CBA21" w14:textId="389B1CF4" w:rsidR="00021867" w:rsidRDefault="00021867" w:rsidP="00021867">
      <w:r>
        <w:t>The State Legislators need to do the following:</w:t>
      </w:r>
    </w:p>
    <w:p w14:paraId="6E4A211A" w14:textId="77777777" w:rsidR="009462B4" w:rsidRDefault="009462B4" w:rsidP="00021867">
      <w:pPr>
        <w:pStyle w:val="ListParagraph"/>
        <w:numPr>
          <w:ilvl w:val="0"/>
          <w:numId w:val="5"/>
        </w:numPr>
      </w:pPr>
      <w:r>
        <w:t>Require the DOR to provide evidence each year that property tax rolls statewide are uniform.</w:t>
      </w:r>
    </w:p>
    <w:p w14:paraId="31B297FB" w14:textId="6CEC6C54" w:rsidR="00021867" w:rsidRDefault="00021867" w:rsidP="00021867">
      <w:pPr>
        <w:pStyle w:val="ListParagraph"/>
        <w:numPr>
          <w:ilvl w:val="0"/>
          <w:numId w:val="5"/>
        </w:numPr>
      </w:pPr>
      <w:r>
        <w:lastRenderedPageBreak/>
        <w:t xml:space="preserve">Come up with a better way to hold municipalities accountable for producing non-uniform property tax rolls.  Current methods are </w:t>
      </w:r>
      <w:r w:rsidR="00C25859">
        <w:t>outdated and have never actually been used (see Wisconsin Statute 73.03(3)).</w:t>
      </w:r>
    </w:p>
    <w:p w14:paraId="4504C7A1" w14:textId="469FDF86" w:rsidR="00A556E8" w:rsidRDefault="00A556E8" w:rsidP="00021867">
      <w:pPr>
        <w:pStyle w:val="ListParagraph"/>
        <w:numPr>
          <w:ilvl w:val="0"/>
          <w:numId w:val="5"/>
        </w:numPr>
      </w:pPr>
      <w:r>
        <w:t>Pass a new law that overturn</w:t>
      </w:r>
      <w:r w:rsidR="007B4EFB">
        <w:t>s</w:t>
      </w:r>
      <w:r>
        <w:t xml:space="preserve"> Markarian v. Cudahy</w:t>
      </w:r>
      <w:r w:rsidR="00B30DB4">
        <w:t xml:space="preserve"> </w:t>
      </w:r>
      <w:r w:rsidR="00B30DB4" w:rsidRPr="00B30DB4">
        <w:t>173 N.W.2d 627, 45 Wis.2d 683</w:t>
      </w:r>
      <w:r>
        <w:t xml:space="preserve">.  This is bad case law which is used to justify </w:t>
      </w:r>
      <w:r w:rsidR="007B4EFB">
        <w:t xml:space="preserve">sale chasing which results in </w:t>
      </w:r>
      <w:r>
        <w:t>non-uniform</w:t>
      </w:r>
      <w:r w:rsidR="007B4EFB">
        <w:t xml:space="preserve"> taxation.</w:t>
      </w:r>
    </w:p>
    <w:p w14:paraId="7FD18357" w14:textId="22AAFBFE" w:rsidR="007B4EFB" w:rsidRDefault="007B4EFB" w:rsidP="00021867">
      <w:pPr>
        <w:pStyle w:val="ListParagraph"/>
        <w:numPr>
          <w:ilvl w:val="0"/>
          <w:numId w:val="5"/>
        </w:numPr>
      </w:pPr>
      <w:r>
        <w:t>Pass a new law to ensure that similar properties are valued using the same valuation method.  Using different valuation methods for similar properties makes no sense.</w:t>
      </w:r>
    </w:p>
    <w:p w14:paraId="7C3FB4E1" w14:textId="637F7FF1" w:rsidR="007B4EFB" w:rsidRDefault="007B4EFB" w:rsidP="00021867">
      <w:pPr>
        <w:pStyle w:val="ListParagraph"/>
        <w:numPr>
          <w:ilvl w:val="0"/>
          <w:numId w:val="5"/>
        </w:numPr>
      </w:pPr>
      <w:r>
        <w:t>Pass a new law to ensure that assessors can collect accurate data about each property.  Property taxes will never be just and equitable if the data the assessor is using is inaccurate.</w:t>
      </w:r>
    </w:p>
    <w:p w14:paraId="36E0D51D" w14:textId="14E7174A" w:rsidR="002178A1" w:rsidRDefault="002178A1" w:rsidP="00021867">
      <w:pPr>
        <w:pStyle w:val="ListParagraph"/>
        <w:numPr>
          <w:ilvl w:val="0"/>
          <w:numId w:val="5"/>
        </w:numPr>
      </w:pPr>
      <w:r>
        <w:t>Make sure municipal governments have the funds to do the job correctly.</w:t>
      </w:r>
      <w:r w:rsidR="007B4EFB">
        <w:t xml:space="preserve">  Choosing between fixing streets and just and equitable taxation is not a good idea.  Lack of funding is not an excuse that the State Constitution allows for.</w:t>
      </w:r>
    </w:p>
    <w:p w14:paraId="417A10DB" w14:textId="77777777" w:rsidR="009462B4" w:rsidRDefault="009462B4" w:rsidP="009462B4">
      <w:r>
        <w:t>Local municipalities need to do the following:</w:t>
      </w:r>
    </w:p>
    <w:p w14:paraId="02E56A78" w14:textId="77777777" w:rsidR="009462B4" w:rsidRDefault="009462B4" w:rsidP="009462B4">
      <w:pPr>
        <w:pStyle w:val="ListParagraph"/>
        <w:numPr>
          <w:ilvl w:val="0"/>
          <w:numId w:val="6"/>
        </w:numPr>
      </w:pPr>
      <w:r>
        <w:t>Make sure property tax rolls are uniform.</w:t>
      </w:r>
    </w:p>
    <w:p w14:paraId="363226F5" w14:textId="77777777" w:rsidR="009462B4" w:rsidRDefault="009462B4" w:rsidP="009462B4">
      <w:pPr>
        <w:pStyle w:val="ListParagraph"/>
        <w:numPr>
          <w:ilvl w:val="0"/>
          <w:numId w:val="6"/>
        </w:numPr>
      </w:pPr>
      <w:r>
        <w:t>Take this problem seriously.</w:t>
      </w:r>
    </w:p>
    <w:p w14:paraId="3D0D42AC" w14:textId="77777777" w:rsidR="009462B4" w:rsidRDefault="009462B4" w:rsidP="009462B4">
      <w:pPr>
        <w:pStyle w:val="ListParagraph"/>
        <w:numPr>
          <w:ilvl w:val="0"/>
          <w:numId w:val="6"/>
        </w:numPr>
      </w:pPr>
      <w:r>
        <w:t>Ask for help if they need it.</w:t>
      </w:r>
    </w:p>
    <w:p w14:paraId="48A5004C" w14:textId="5F0FCBF3" w:rsidR="00156B98" w:rsidRDefault="00156B98">
      <w:pPr>
        <w:rPr>
          <w:b/>
          <w:bCs/>
        </w:rPr>
      </w:pPr>
    </w:p>
    <w:p w14:paraId="7C101120" w14:textId="636AD343" w:rsidR="00156B98" w:rsidRDefault="00156B98">
      <w:pPr>
        <w:rPr>
          <w:b/>
          <w:bCs/>
        </w:rPr>
      </w:pPr>
      <w:r>
        <w:rPr>
          <w:b/>
          <w:bCs/>
        </w:rPr>
        <w:t>Corrections</w:t>
      </w:r>
    </w:p>
    <w:p w14:paraId="1437AA94" w14:textId="2F48657B" w:rsidR="00156B98" w:rsidRPr="00156B98" w:rsidRDefault="00156B98">
      <w:r w:rsidRPr="00156B98">
        <w:t>The following is a list of corrections to data previously published</w:t>
      </w:r>
    </w:p>
    <w:p w14:paraId="0769F10F" w14:textId="3CD41E03" w:rsidR="00156B98" w:rsidRDefault="00156B98" w:rsidP="00156B98">
      <w:pPr>
        <w:pStyle w:val="ListParagraph"/>
        <w:numPr>
          <w:ilvl w:val="0"/>
          <w:numId w:val="7"/>
        </w:numPr>
      </w:pPr>
      <w:r w:rsidRPr="00156B98">
        <w:t>No</w:t>
      </w:r>
      <w:r>
        <w:t>ne (no errors found)</w:t>
      </w:r>
    </w:p>
    <w:p w14:paraId="30902046" w14:textId="77777777" w:rsidR="00156B98" w:rsidRPr="00156B98" w:rsidRDefault="00156B98" w:rsidP="00156B98">
      <w:pPr>
        <w:pStyle w:val="ListParagraph"/>
        <w:numPr>
          <w:ilvl w:val="0"/>
          <w:numId w:val="7"/>
        </w:numPr>
      </w:pPr>
    </w:p>
    <w:p w14:paraId="467EE786" w14:textId="1E554782" w:rsidR="00D67689" w:rsidRPr="00D67689" w:rsidRDefault="00D67689">
      <w:pPr>
        <w:rPr>
          <w:b/>
          <w:bCs/>
        </w:rPr>
      </w:pPr>
      <w:r w:rsidRPr="00D67689">
        <w:rPr>
          <w:b/>
          <w:bCs/>
        </w:rPr>
        <w:t>Contact Us</w:t>
      </w:r>
    </w:p>
    <w:p w14:paraId="0B1FC9C2" w14:textId="4ADC3E61" w:rsidR="00D67689" w:rsidRDefault="00156B98">
      <w:pPr>
        <w:rPr>
          <w:rStyle w:val="Hyperlink"/>
          <w:color w:val="auto"/>
          <w:u w:val="none"/>
        </w:rPr>
      </w:pPr>
      <w:r>
        <w:t>If you would like to contact us in order to file a complaint about non-uniform assessments</w:t>
      </w:r>
      <w:r w:rsidR="001178F1">
        <w:t xml:space="preserve"> or you </w:t>
      </w:r>
      <w:r>
        <w:t xml:space="preserve">have a comment </w:t>
      </w:r>
      <w:r w:rsidR="001178F1">
        <w:t>or question, please use the following:</w:t>
      </w:r>
    </w:p>
    <w:p w14:paraId="259146CF" w14:textId="4D75C5E1" w:rsidR="007D3D66" w:rsidRDefault="007D3D66">
      <w:pPr>
        <w:rPr>
          <w:rStyle w:val="Hyperlink"/>
          <w:color w:val="auto"/>
          <w:u w:val="none"/>
        </w:rPr>
      </w:pPr>
      <w:r w:rsidRPr="007D3D66">
        <w:rPr>
          <w:rStyle w:val="Hyperlink"/>
          <w:noProof/>
          <w:color w:val="auto"/>
          <w:u w:val="none"/>
        </w:rPr>
        <w:lastRenderedPageBreak/>
        <w:drawing>
          <wp:inline distT="0" distB="0" distL="0" distR="0" wp14:anchorId="3A351D2F" wp14:editId="25E282F6">
            <wp:extent cx="5943600" cy="32004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14"/>
                    <a:stretch>
                      <a:fillRect/>
                    </a:stretch>
                  </pic:blipFill>
                  <pic:spPr>
                    <a:xfrm>
                      <a:off x="0" y="0"/>
                      <a:ext cx="5943600" cy="3200400"/>
                    </a:xfrm>
                    <a:prstGeom prst="rect">
                      <a:avLst/>
                    </a:prstGeom>
                  </pic:spPr>
                </pic:pic>
              </a:graphicData>
            </a:graphic>
          </wp:inline>
        </w:drawing>
      </w:r>
    </w:p>
    <w:p w14:paraId="7E51ED45" w14:textId="5325888F" w:rsidR="001178F1" w:rsidRDefault="001178F1" w:rsidP="001178F1">
      <w:pPr>
        <w:rPr>
          <w:rStyle w:val="Hyperlink"/>
          <w:color w:val="auto"/>
          <w:u w:val="none"/>
        </w:rPr>
      </w:pPr>
      <w:r>
        <w:t>Send the preceding data to:</w:t>
      </w:r>
      <w:r>
        <w:t xml:space="preserve"> </w:t>
      </w:r>
      <w:hyperlink r:id="rId15" w:history="1">
        <w:r w:rsidRPr="00EF3A5E">
          <w:rPr>
            <w:rStyle w:val="Hyperlink"/>
          </w:rPr>
          <w:t>apelkey@waac.pro</w:t>
        </w:r>
      </w:hyperlink>
      <w:r w:rsidRPr="009462B4">
        <w:rPr>
          <w:rStyle w:val="Hyperlink"/>
          <w:color w:val="auto"/>
          <w:u w:val="none"/>
        </w:rPr>
        <w:t>.</w:t>
      </w:r>
    </w:p>
    <w:p w14:paraId="24AB73D3" w14:textId="2BC923BE" w:rsidR="00260737" w:rsidRPr="00F6603E" w:rsidRDefault="00260737">
      <w:pPr>
        <w:rPr>
          <w:b/>
          <w:bCs/>
        </w:rPr>
      </w:pPr>
    </w:p>
    <w:sectPr w:rsidR="00260737" w:rsidRPr="00F660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A3D6C" w14:textId="77777777" w:rsidR="00976A81" w:rsidRDefault="00976A81" w:rsidP="00976A81">
      <w:pPr>
        <w:spacing w:after="0" w:line="240" w:lineRule="auto"/>
      </w:pPr>
      <w:r>
        <w:separator/>
      </w:r>
    </w:p>
  </w:endnote>
  <w:endnote w:type="continuationSeparator" w:id="0">
    <w:p w14:paraId="7F0585C8" w14:textId="77777777" w:rsidR="00976A81" w:rsidRDefault="00976A81" w:rsidP="00976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19CFB" w14:textId="77777777" w:rsidR="00976A81" w:rsidRDefault="00976A81" w:rsidP="00976A81">
      <w:pPr>
        <w:spacing w:after="0" w:line="240" w:lineRule="auto"/>
      </w:pPr>
      <w:r>
        <w:separator/>
      </w:r>
    </w:p>
  </w:footnote>
  <w:footnote w:type="continuationSeparator" w:id="0">
    <w:p w14:paraId="186F9ECC" w14:textId="77777777" w:rsidR="00976A81" w:rsidRDefault="00976A81" w:rsidP="00976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0126"/>
    <w:multiLevelType w:val="hybridMultilevel"/>
    <w:tmpl w:val="85E2C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B44A9"/>
    <w:multiLevelType w:val="hybridMultilevel"/>
    <w:tmpl w:val="FD7AE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AD4664"/>
    <w:multiLevelType w:val="hybridMultilevel"/>
    <w:tmpl w:val="7FD6A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A700C"/>
    <w:multiLevelType w:val="hybridMultilevel"/>
    <w:tmpl w:val="FEBC3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E162EF"/>
    <w:multiLevelType w:val="hybridMultilevel"/>
    <w:tmpl w:val="BEEE3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6B6B8E"/>
    <w:multiLevelType w:val="hybridMultilevel"/>
    <w:tmpl w:val="AB683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960F97"/>
    <w:multiLevelType w:val="hybridMultilevel"/>
    <w:tmpl w:val="CCE4D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2C7"/>
    <w:rsid w:val="0000763E"/>
    <w:rsid w:val="00021867"/>
    <w:rsid w:val="0003655F"/>
    <w:rsid w:val="00045C0B"/>
    <w:rsid w:val="00075BF5"/>
    <w:rsid w:val="000A1149"/>
    <w:rsid w:val="000C79C9"/>
    <w:rsid w:val="000F6BAC"/>
    <w:rsid w:val="001178F1"/>
    <w:rsid w:val="001413DA"/>
    <w:rsid w:val="001519ED"/>
    <w:rsid w:val="00152ECC"/>
    <w:rsid w:val="00156B98"/>
    <w:rsid w:val="001A1F09"/>
    <w:rsid w:val="001A6B94"/>
    <w:rsid w:val="001B3B08"/>
    <w:rsid w:val="00202BC2"/>
    <w:rsid w:val="002178A1"/>
    <w:rsid w:val="00260737"/>
    <w:rsid w:val="00280225"/>
    <w:rsid w:val="002A4161"/>
    <w:rsid w:val="002C1FCB"/>
    <w:rsid w:val="002D3467"/>
    <w:rsid w:val="003111E9"/>
    <w:rsid w:val="00324EA3"/>
    <w:rsid w:val="0037447D"/>
    <w:rsid w:val="00375805"/>
    <w:rsid w:val="003D3151"/>
    <w:rsid w:val="0041393D"/>
    <w:rsid w:val="004A3B6E"/>
    <w:rsid w:val="004B4BCF"/>
    <w:rsid w:val="005D7B98"/>
    <w:rsid w:val="00620B0A"/>
    <w:rsid w:val="00687C48"/>
    <w:rsid w:val="006C38EA"/>
    <w:rsid w:val="006C48F9"/>
    <w:rsid w:val="006E22C7"/>
    <w:rsid w:val="006E4CB5"/>
    <w:rsid w:val="007100EE"/>
    <w:rsid w:val="00735F7B"/>
    <w:rsid w:val="007B44C6"/>
    <w:rsid w:val="007B4EFB"/>
    <w:rsid w:val="007D3D66"/>
    <w:rsid w:val="00812A4C"/>
    <w:rsid w:val="00834B27"/>
    <w:rsid w:val="00857FDC"/>
    <w:rsid w:val="00886567"/>
    <w:rsid w:val="008A2CBD"/>
    <w:rsid w:val="00913B51"/>
    <w:rsid w:val="009462B4"/>
    <w:rsid w:val="00976A81"/>
    <w:rsid w:val="009A70D4"/>
    <w:rsid w:val="009D64FC"/>
    <w:rsid w:val="00A032EC"/>
    <w:rsid w:val="00A34923"/>
    <w:rsid w:val="00A556E8"/>
    <w:rsid w:val="00A650D7"/>
    <w:rsid w:val="00A732A0"/>
    <w:rsid w:val="00A7543A"/>
    <w:rsid w:val="00B30DB4"/>
    <w:rsid w:val="00B5401E"/>
    <w:rsid w:val="00B75889"/>
    <w:rsid w:val="00BE2CEE"/>
    <w:rsid w:val="00BF6D26"/>
    <w:rsid w:val="00C000A7"/>
    <w:rsid w:val="00C236E8"/>
    <w:rsid w:val="00C25859"/>
    <w:rsid w:val="00C340E3"/>
    <w:rsid w:val="00C40AD3"/>
    <w:rsid w:val="00C45451"/>
    <w:rsid w:val="00CB3F6D"/>
    <w:rsid w:val="00D074E8"/>
    <w:rsid w:val="00D07C46"/>
    <w:rsid w:val="00D15917"/>
    <w:rsid w:val="00D20248"/>
    <w:rsid w:val="00D401C9"/>
    <w:rsid w:val="00D47946"/>
    <w:rsid w:val="00D67689"/>
    <w:rsid w:val="00DB684F"/>
    <w:rsid w:val="00DB7643"/>
    <w:rsid w:val="00E506FA"/>
    <w:rsid w:val="00E52774"/>
    <w:rsid w:val="00E96F9D"/>
    <w:rsid w:val="00F4086E"/>
    <w:rsid w:val="00F6603E"/>
    <w:rsid w:val="00FA38B6"/>
    <w:rsid w:val="00FB5AD9"/>
    <w:rsid w:val="00FC5A69"/>
    <w:rsid w:val="00FC75E8"/>
    <w:rsid w:val="00FC779B"/>
    <w:rsid w:val="00FF3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75C4"/>
  <w15:chartTrackingRefBased/>
  <w15:docId w15:val="{8673292E-5824-4A1F-A64E-0A8704B30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0EE"/>
    <w:rPr>
      <w:color w:val="0563C1" w:themeColor="hyperlink"/>
      <w:u w:val="single"/>
    </w:rPr>
  </w:style>
  <w:style w:type="character" w:styleId="UnresolvedMention">
    <w:name w:val="Unresolved Mention"/>
    <w:basedOn w:val="DefaultParagraphFont"/>
    <w:uiPriority w:val="99"/>
    <w:semiHidden/>
    <w:unhideWhenUsed/>
    <w:rsid w:val="007100EE"/>
    <w:rPr>
      <w:color w:val="605E5C"/>
      <w:shd w:val="clear" w:color="auto" w:fill="E1DFDD"/>
    </w:rPr>
  </w:style>
  <w:style w:type="paragraph" w:styleId="ListParagraph">
    <w:name w:val="List Paragraph"/>
    <w:basedOn w:val="Normal"/>
    <w:uiPriority w:val="34"/>
    <w:qFormat/>
    <w:rsid w:val="005D7B98"/>
    <w:pPr>
      <w:ind w:left="720"/>
      <w:contextualSpacing/>
    </w:pPr>
  </w:style>
  <w:style w:type="paragraph" w:styleId="Header">
    <w:name w:val="header"/>
    <w:basedOn w:val="Normal"/>
    <w:link w:val="HeaderChar"/>
    <w:uiPriority w:val="99"/>
    <w:unhideWhenUsed/>
    <w:rsid w:val="00976A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A81"/>
  </w:style>
  <w:style w:type="paragraph" w:styleId="Footer">
    <w:name w:val="footer"/>
    <w:basedOn w:val="Normal"/>
    <w:link w:val="FooterChar"/>
    <w:uiPriority w:val="99"/>
    <w:unhideWhenUsed/>
    <w:rsid w:val="00976A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A81"/>
  </w:style>
  <w:style w:type="character" w:styleId="FollowedHyperlink">
    <w:name w:val="FollowedHyperlink"/>
    <w:basedOn w:val="DefaultParagraphFont"/>
    <w:uiPriority w:val="99"/>
    <w:semiHidden/>
    <w:unhideWhenUsed/>
    <w:rsid w:val="003D3151"/>
    <w:rPr>
      <w:color w:val="954F72" w:themeColor="followedHyperlink"/>
      <w:u w:val="single"/>
    </w:rPr>
  </w:style>
  <w:style w:type="table" w:styleId="TableGrid">
    <w:name w:val="Table Grid"/>
    <w:basedOn w:val="TableNormal"/>
    <w:uiPriority w:val="39"/>
    <w:rsid w:val="00156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19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rchive.jsonline.com/watchdog/watchdogreports/across-wisconsin-uneven-property-assessments-fly-in-the-face-of-fairness-27761402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in/andypelke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in/cindy-chase-4b73183b/" TargetMode="External"/><Relationship Id="rId5" Type="http://schemas.openxmlformats.org/officeDocument/2006/relationships/webSettings" Target="webSettings.xml"/><Relationship Id="rId15" Type="http://schemas.openxmlformats.org/officeDocument/2006/relationships/hyperlink" Target="mailto:apelkey@waac.pro" TargetMode="External"/><Relationship Id="rId10" Type="http://schemas.openxmlformats.org/officeDocument/2006/relationships/hyperlink" Target="https://www.istockphoto.com/collaboration/boards/-Ci5QHxVfEKILUJaeKS-Lg" TargetMode="External"/><Relationship Id="rId4" Type="http://schemas.openxmlformats.org/officeDocument/2006/relationships/settings" Target="settings.xml"/><Relationship Id="rId9" Type="http://schemas.openxmlformats.org/officeDocument/2006/relationships/hyperlink" Target="http://www.waac.pro"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DE744-C146-4013-9C73-D2674999F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Pelkey</dc:creator>
  <cp:keywords/>
  <dc:description/>
  <cp:lastModifiedBy>andy pelkey</cp:lastModifiedBy>
  <cp:revision>6</cp:revision>
  <dcterms:created xsi:type="dcterms:W3CDTF">2022-02-20T20:53:00Z</dcterms:created>
  <dcterms:modified xsi:type="dcterms:W3CDTF">2022-02-20T23:40:00Z</dcterms:modified>
</cp:coreProperties>
</file>